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59" w14:textId="564FF308" w:rsidR="0012031E" w:rsidRDefault="0012031E" w:rsidP="00E0751D">
      <w:pPr>
        <w:spacing w:after="0" w:line="240" w:lineRule="auto"/>
      </w:pPr>
    </w:p>
    <w:p w14:paraId="2BA93945" w14:textId="1FEA1679" w:rsidR="0012031E" w:rsidRDefault="0012031E" w:rsidP="00E0751D">
      <w:pPr>
        <w:spacing w:after="0" w:line="240" w:lineRule="auto"/>
      </w:pPr>
    </w:p>
    <w:p w14:paraId="1606C4DD" w14:textId="2B12BF49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539CBC5" w:rsidR="00E0751D" w:rsidRDefault="00E0751D" w:rsidP="00E0751D">
      <w:pPr>
        <w:spacing w:after="0" w:line="240" w:lineRule="auto"/>
      </w:pPr>
    </w:p>
    <w:p w14:paraId="7006DD96" w14:textId="2D43265F" w:rsidR="000B78E0" w:rsidRDefault="000B78E0" w:rsidP="000B78E0">
      <w:pPr>
        <w:spacing w:after="0" w:line="240" w:lineRule="auto"/>
      </w:pPr>
    </w:p>
    <w:p w14:paraId="218E79A0" w14:textId="3914974E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Balance Presupuestario de Recursos Disponibles Negativo</w:t>
      </w:r>
    </w:p>
    <w:p w14:paraId="71DCAC1D" w14:textId="70CA5A64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39C3CF32" w14:textId="5CCD4754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Acciones para recuperar el Balance Presupuestario de Recursos Disponibles Sostenible.</w:t>
      </w:r>
    </w:p>
    <w:p w14:paraId="27F071FB" w14:textId="20C2CCFA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51623B" w14:textId="148C6433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DIF Municipal en el periodo que se informa no presenta balance presupuestario de recursos disponibles negativo.</w:t>
      </w:r>
    </w:p>
    <w:p w14:paraId="2332462E" w14:textId="6E7F5533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64162E" w14:textId="11F1628C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5BDB">
        <w:rPr>
          <w:rFonts w:ascii="Arial" w:hAnsi="Arial" w:cs="Arial"/>
          <w:b/>
          <w:sz w:val="24"/>
          <w:szCs w:val="24"/>
        </w:rPr>
        <w:t>2. Aumento o creación de nuevo Gasto</w:t>
      </w:r>
    </w:p>
    <w:p w14:paraId="71B3B7C0" w14:textId="598D0BCD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169D472D" w14:textId="574C7182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Fuente de Ingresos del aumento o creación del Gasto no Etiquetado.</w:t>
      </w:r>
    </w:p>
    <w:p w14:paraId="2AC037BB" w14:textId="5FB26FC2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Fuente de Ingresos del aumento o creación del Gasto Etiquetado.</w:t>
      </w:r>
    </w:p>
    <w:p w14:paraId="0116F5F0" w14:textId="0046CFA9" w:rsidR="000B78E0" w:rsidRDefault="000003E8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drawing>
          <wp:inline distT="0" distB="0" distL="0" distR="0" wp14:anchorId="21C88A8C" wp14:editId="0E255C7B">
            <wp:extent cx="5971540" cy="9607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812D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8D80" w14:textId="6F279887" w:rsidR="00877F19" w:rsidRDefault="00877F19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68E5A6DE" w14:textId="139EE84F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Pasivo Circulante al Cierre del Ejercicio (ESF-12)</w:t>
      </w:r>
    </w:p>
    <w:p w14:paraId="175A78A5" w14:textId="5242CF2D" w:rsidR="00447178" w:rsidRDefault="000003E8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5B2C860" wp14:editId="0F2D207C">
            <wp:simplePos x="0" y="0"/>
            <wp:positionH relativeFrom="margin">
              <wp:posOffset>161925</wp:posOffset>
            </wp:positionH>
            <wp:positionV relativeFrom="paragraph">
              <wp:posOffset>5715</wp:posOffset>
            </wp:positionV>
            <wp:extent cx="3914310" cy="29432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8EE4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72B5" w14:textId="5F266308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0EEA99" w14:textId="434AD99B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962A09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7A3B6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0747B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8AE9F9" w14:textId="513EC70E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673681" w14:textId="51538D3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5D49B4" w14:textId="4EE1463F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0C025" w14:textId="7777777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3431DA" w14:textId="1069750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BB58B2" w14:textId="064685A0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1003F" w14:textId="7777777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2069D1" w14:textId="77777777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Deuda Pública y Obligaciones</w:t>
      </w:r>
    </w:p>
    <w:p w14:paraId="74882527" w14:textId="3BE81C71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de Atarjea, Gto., no tiene deuda contratada.</w:t>
      </w:r>
    </w:p>
    <w:p w14:paraId="26064C2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25 LDF</w:t>
      </w:r>
    </w:p>
    <w:p w14:paraId="5AA3EE66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379F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Obligaciones a Corto Plazo</w:t>
      </w:r>
    </w:p>
    <w:p w14:paraId="6B9A8EE8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revelará:</w:t>
      </w:r>
    </w:p>
    <w:p w14:paraId="2369517F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682851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DF613A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El DIF Municipal, durante el periodo no tiene comisiones, accesorios u otro concepto que incremente el importe de las obligaciones a corto plazo.</w:t>
      </w:r>
    </w:p>
    <w:p w14:paraId="1CA1B19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266DDC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31 LDF</w:t>
      </w:r>
    </w:p>
    <w:p w14:paraId="17514467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23B9CEBB" w14:textId="77777777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Evaluación de Cumplimiento</w:t>
      </w:r>
    </w:p>
    <w:p w14:paraId="2A3CA5F7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B7B9E3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relativa al cumplimiento de los convenios de Deuda Garantizada.</w:t>
      </w:r>
    </w:p>
    <w:p w14:paraId="6A632C67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AB5DD5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40 LDF</w:t>
      </w:r>
    </w:p>
    <w:p w14:paraId="3E3B9C3B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FE553FC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se registra Deuda Garantizada durante el periodo.</w:t>
      </w:r>
    </w:p>
    <w:p w14:paraId="6BD3A823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1E62C65" w14:textId="77777777" w:rsidR="000B78E0" w:rsidRPr="00AF5CAD" w:rsidRDefault="000B78E0" w:rsidP="000B78E0">
      <w:pPr>
        <w:spacing w:after="0" w:line="240" w:lineRule="auto"/>
        <w:rPr>
          <w:i/>
        </w:rPr>
      </w:pPr>
    </w:p>
    <w:p w14:paraId="4498ED3C" w14:textId="77777777" w:rsidR="00AF5CAD" w:rsidRPr="00AF5CAD" w:rsidRDefault="00AF5CAD" w:rsidP="000B78E0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702F6" w14:textId="77777777" w:rsidR="00957B7B" w:rsidRDefault="00957B7B" w:rsidP="0012031E">
      <w:pPr>
        <w:spacing w:after="0" w:line="240" w:lineRule="auto"/>
      </w:pPr>
      <w:r>
        <w:separator/>
      </w:r>
    </w:p>
  </w:endnote>
  <w:endnote w:type="continuationSeparator" w:id="0">
    <w:p w14:paraId="5E82640B" w14:textId="77777777" w:rsidR="00957B7B" w:rsidRDefault="00957B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433EE382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E8" w:rsidRPr="000003E8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5951" w14:textId="77777777" w:rsidR="00957B7B" w:rsidRDefault="00957B7B" w:rsidP="0012031E">
      <w:pPr>
        <w:spacing w:after="0" w:line="240" w:lineRule="auto"/>
      </w:pPr>
      <w:r>
        <w:separator/>
      </w:r>
    </w:p>
  </w:footnote>
  <w:footnote w:type="continuationSeparator" w:id="0">
    <w:p w14:paraId="18410DDC" w14:textId="77777777" w:rsidR="00957B7B" w:rsidRDefault="00957B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99C1" w14:textId="76E0698D" w:rsidR="0012031E" w:rsidRDefault="000B78E0" w:rsidP="0012031E">
    <w:pPr>
      <w:pStyle w:val="Encabezado"/>
      <w:jc w:val="center"/>
    </w:pPr>
    <w:r>
      <w:t>Sistema para el Desarrollo Integral de la Familia del Municipio de Atarjea, Gto.</w:t>
    </w:r>
  </w:p>
  <w:p w14:paraId="5223314B" w14:textId="0B93A4C9" w:rsidR="0012031E" w:rsidRDefault="000B78E0" w:rsidP="009016BE">
    <w:pPr>
      <w:pStyle w:val="Encabezado"/>
      <w:jc w:val="center"/>
    </w:pPr>
    <w:r w:rsidRPr="00A4610E">
      <w:t>Correspondi</w:t>
    </w:r>
    <w:r>
      <w:t>e</w:t>
    </w:r>
    <w:r w:rsidRPr="00A4610E">
      <w:t xml:space="preserve">ntes </w:t>
    </w:r>
    <w:r>
      <w:t>al 3</w:t>
    </w:r>
    <w:r w:rsidR="000003E8">
      <w:t>1</w:t>
    </w:r>
    <w:r>
      <w:t xml:space="preserve"> de </w:t>
    </w:r>
    <w:r w:rsidR="000003E8">
      <w:t>dic</w:t>
    </w:r>
    <w:r w:rsidR="00447178">
      <w:t>iembre</w:t>
    </w:r>
    <w: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03E8"/>
    <w:rsid w:val="0009270F"/>
    <w:rsid w:val="000B78E0"/>
    <w:rsid w:val="0012031E"/>
    <w:rsid w:val="00257EAD"/>
    <w:rsid w:val="0031174B"/>
    <w:rsid w:val="00347BDF"/>
    <w:rsid w:val="00447178"/>
    <w:rsid w:val="004C23EA"/>
    <w:rsid w:val="005C5BDB"/>
    <w:rsid w:val="00622C13"/>
    <w:rsid w:val="006734AB"/>
    <w:rsid w:val="00877F19"/>
    <w:rsid w:val="008B73DC"/>
    <w:rsid w:val="009016BE"/>
    <w:rsid w:val="00940570"/>
    <w:rsid w:val="00957B7B"/>
    <w:rsid w:val="009967AB"/>
    <w:rsid w:val="00A3688B"/>
    <w:rsid w:val="00A827B2"/>
    <w:rsid w:val="00AE2E14"/>
    <w:rsid w:val="00AF5CAD"/>
    <w:rsid w:val="00B249A3"/>
    <w:rsid w:val="00D217E5"/>
    <w:rsid w:val="00DC3383"/>
    <w:rsid w:val="00E0751D"/>
    <w:rsid w:val="00E9342D"/>
    <w:rsid w:val="00EC04A5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Olvera Hurtado</cp:lastModifiedBy>
  <cp:revision>7</cp:revision>
  <dcterms:created xsi:type="dcterms:W3CDTF">2023-08-25T15:35:00Z</dcterms:created>
  <dcterms:modified xsi:type="dcterms:W3CDTF">2024-02-21T18:51:00Z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